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ook Antiqua" w:hAnsi="Book Antiqua" w:cs="TimesNewRomanPS-BoldMT"/>
          <w:bCs/>
        </w:rPr>
      </w:pPr>
      <w:r>
        <w:rPr>
          <w:rFonts w:cs="TimesNewRomanPS-BoldMT" w:ascii="Book Antiqua" w:hAnsi="Book Antiqua"/>
          <w:b/>
          <w:bCs/>
          <w:sz w:val="28"/>
          <w:szCs w:val="28"/>
        </w:rPr>
        <w:tab/>
        <w:tab/>
        <w:tab/>
        <w:tab/>
        <w:tab/>
        <w:tab/>
        <w:tab/>
        <w:tab/>
        <w:tab/>
      </w:r>
      <w:r>
        <w:rPr>
          <w:rFonts w:cs="TimesNewRomanPS-BoldMT" w:ascii="Book Antiqua" w:hAnsi="Book Antiqua"/>
          <w:bCs/>
        </w:rPr>
        <w:t xml:space="preserve">Allegato 1 </w:t>
      </w:r>
    </w:p>
    <w:p>
      <w:pPr>
        <w:pStyle w:val="Normal"/>
        <w:spacing w:lineRule="auto" w:line="240" w:before="0" w:after="0"/>
        <w:jc w:val="center"/>
        <w:rPr/>
      </w:pPr>
      <w:r>
        <w:rPr>
          <w:rFonts w:cs="TimesNewRomanPS-BoldMT" w:ascii="Book Antiqua" w:hAnsi="Book Antiqua"/>
          <w:b/>
          <w:bCs/>
          <w:sz w:val="28"/>
          <w:szCs w:val="28"/>
        </w:rPr>
        <w:t>Modello Istanza di partecipazione – Dichiarazione</w:t>
      </w:r>
    </w:p>
    <w:p>
      <w:pPr>
        <w:pStyle w:val="Normal"/>
        <w:spacing w:lineRule="auto" w:line="240" w:before="0" w:after="0"/>
        <w:jc w:val="center"/>
        <w:rPr>
          <w:rFonts w:ascii="Book Antiqua" w:hAnsi="Book Antiqua" w:cs="TimesNewRomanPS-BoldMT"/>
          <w:b/>
          <w:b/>
          <w:bCs/>
          <w:sz w:val="28"/>
          <w:szCs w:val="28"/>
        </w:rPr>
      </w:pPr>
      <w:r>
        <w:rPr/>
      </w:r>
    </w:p>
    <w:p>
      <w:pPr>
        <w:pStyle w:val="Normal"/>
        <w:spacing w:lineRule="auto" w:line="240" w:before="0" w:after="0"/>
        <w:ind w:left="5664" w:firstLine="708"/>
        <w:rPr>
          <w:rFonts w:ascii="Book Antiqua" w:hAnsi="Book Antiqua" w:cs="TimesNewRomanPSMT"/>
          <w:sz w:val="24"/>
          <w:szCs w:val="24"/>
        </w:rPr>
      </w:pPr>
      <w:r>
        <w:rPr>
          <w:rFonts w:cs="TimesNewRomanPSMT" w:ascii="Book Antiqua" w:hAnsi="Book Antiqua"/>
          <w:sz w:val="24"/>
          <w:szCs w:val="24"/>
        </w:rPr>
        <w:t>Al Comune di Mascalucia</w:t>
      </w:r>
    </w:p>
    <w:p>
      <w:pPr>
        <w:pStyle w:val="Normal"/>
        <w:spacing w:lineRule="auto" w:line="240" w:before="0" w:after="0"/>
        <w:ind w:left="5664" w:firstLine="708"/>
        <w:rPr>
          <w:rFonts w:ascii="Book Antiqua" w:hAnsi="Book Antiqua" w:cs="TimesNewRomanPSMT"/>
          <w:sz w:val="24"/>
          <w:szCs w:val="24"/>
        </w:rPr>
      </w:pPr>
      <w:r>
        <w:rPr>
          <w:rFonts w:cs="TimesNewRomanPSMT" w:ascii="Book Antiqua" w:hAnsi="Book Antiqua"/>
          <w:sz w:val="24"/>
          <w:szCs w:val="24"/>
        </w:rPr>
        <w:t>_____________________</w:t>
      </w:r>
    </w:p>
    <w:p>
      <w:pPr>
        <w:pStyle w:val="NormalWeb"/>
        <w:spacing w:before="280" w:after="0"/>
        <w:jc w:val="both"/>
        <w:rPr/>
      </w:pPr>
      <w:r>
        <w:rPr>
          <w:rFonts w:cs="TimesNewRomanPSMT" w:ascii="Book Antiqua" w:hAnsi="Book Antiqua"/>
        </w:rPr>
        <w:t xml:space="preserve"> </w:t>
      </w:r>
      <w:r>
        <w:rPr>
          <w:rFonts w:cs="TimesNewRomanPS-BoldMT" w:ascii="Book Antiqua" w:hAnsi="Book Antiqua"/>
          <w:b/>
          <w:bCs/>
        </w:rPr>
        <w:t xml:space="preserve">OGGETTO:  </w:t>
      </w:r>
      <w:r>
        <w:rPr>
          <w:rFonts w:ascii="Book Antiqua" w:hAnsi="Book Antiqua"/>
          <w:b/>
          <w:bCs/>
        </w:rPr>
        <w:t>s</w:t>
      </w:r>
      <w:r>
        <w:rPr>
          <w:rFonts w:ascii="Book Antiqua" w:hAnsi="Book Antiqua"/>
          <w:b/>
          <w:bCs/>
          <w:color w:val="000000"/>
        </w:rPr>
        <w:t>elezione mediante procedura negoziata ex art. 36 comma 2 lettera a) D. Lgs. 50/2016 e s. m. e i. di un incarico di Revisore contabile indipendente per la verifica e certificazione delle spese sostenute nell’ambito del Sistema di protezione per titolari di protezione internazionale e per i minori stranieri non accompagnati (Siproimi). Cat. MSNA – BIENNIO 2021/2022</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Il/la sottoscritto/a_________________________________________________________nato/a a ________________________________________ prov. _____ il______/______/_________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e residente in ____________________________________________________ prov.___________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via /piazza__________________________________________ n° __________CAP___________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Partita Iva ______________________ Codice fiscale ____________________________________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e-mail _________________________________________________ tel ______________________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Indirizzo Pec___________________________________fax_______________________________</w:t>
      </w:r>
    </w:p>
    <w:p>
      <w:pPr>
        <w:pStyle w:val="Normal"/>
        <w:spacing w:lineRule="auto" w:line="240" w:before="0" w:after="0"/>
        <w:jc w:val="center"/>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center"/>
        <w:rPr>
          <w:rFonts w:ascii="Book Antiqua" w:hAnsi="Book Antiqua" w:cs="TimesNewRomanPSMT"/>
          <w:sz w:val="24"/>
          <w:szCs w:val="24"/>
        </w:rPr>
      </w:pPr>
      <w:r>
        <w:rPr>
          <w:rFonts w:cs="TimesNewRomanPSMT" w:ascii="Book Antiqua" w:hAnsi="Book Antiqua"/>
          <w:sz w:val="24"/>
          <w:szCs w:val="24"/>
        </w:rPr>
        <w:t>CHIEDE</w:t>
      </w:r>
    </w:p>
    <w:p>
      <w:pPr>
        <w:pStyle w:val="Normal"/>
        <w:spacing w:lineRule="auto" w:line="240" w:before="0" w:after="0"/>
        <w:jc w:val="center"/>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di partecipare alla selezione, per soli titoli, di un Revisore contabile indipendente, a cui affidare le prestazioni di verifica e certificazione delle spese relative al progetto Siproimi/SAI  – cat. MSNA  - Biennio 2021/2022.</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A tal fine, consapevole della responsabilità penale nella quale incorre chi rende dichiarazioni mendaci a norma dell'art. 46 e 76 del D.P.R. 445/2000,</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center"/>
        <w:rPr>
          <w:rFonts w:ascii="Book Antiqua" w:hAnsi="Book Antiqua" w:cs="TimesNewRomanPSMT"/>
          <w:sz w:val="24"/>
          <w:szCs w:val="24"/>
        </w:rPr>
      </w:pPr>
      <w:r>
        <w:rPr>
          <w:rFonts w:cs="TimesNewRomanPSMT" w:ascii="Book Antiqua" w:hAnsi="Book Antiqua"/>
          <w:sz w:val="24"/>
          <w:szCs w:val="24"/>
        </w:rPr>
        <w:t>DICHIARA</w:t>
      </w:r>
    </w:p>
    <w:p>
      <w:pPr>
        <w:pStyle w:val="Normal"/>
        <w:spacing w:lineRule="auto" w:line="240" w:before="0" w:after="0"/>
        <w:jc w:val="center"/>
        <w:rPr>
          <w:rFonts w:ascii="Book Antiqua" w:hAnsi="Book Antiqua" w:cs="TimesNewRomanPSMT"/>
          <w:sz w:val="24"/>
          <w:szCs w:val="24"/>
        </w:rPr>
      </w:pPr>
      <w:r>
        <w:rPr>
          <w:rFonts w:cs="TimesNewRomanPSMT" w:ascii="Book Antiqua" w:hAnsi="Book Antiqua"/>
          <w:sz w:val="24"/>
          <w:szCs w:val="24"/>
        </w:rPr>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non aver riportato condanne passate in giudicato o decreti penali di condanna divenuti divenuti irrevocabili oppure sentenze di applicazione della pena su richiesta, ai sensi dell'articolo 444 del Codice di Procedura Penale per reati gravi in danno dello stato o della comunità, che incidono sulla moralità professionale o di sanzioni interdittive di cui all'art. 9 co. 2 lett.c del D.Lgs. n. 231/01 o altre sanzioni che comportino il divieto di contare con la Pubblica Amministrazione;</w:t>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non essere sottoposto a procedimenti penali;</w:t>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non essere soggetto a destituzione, dispensa, decadenza o licenziamento da un precedente impiego presso la Pubblica Amministrazione;</w:t>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aver gestito fondi Europei, o Ministeriali, o Regionali, per almeno un anno;</w:t>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essere in possesso del seguente titolo di studio _____________________________________ conseguito presso_______________________di ________________ nell'anno _____ con la votazione di__________/__________;</w:t>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essere iscritto al Registro dei Revisori tenuto dal MEF (Ministero dell'Economia e delle Finanze) al numero________________ o All’Albo dei Revisori tenuto presso il Ministero dell’Interno al numero _____________________;</w:t>
      </w:r>
    </w:p>
    <w:p>
      <w:pPr>
        <w:pStyle w:val="ListParagraph"/>
        <w:numPr>
          <w:ilvl w:val="0"/>
          <w:numId w:val="3"/>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non trovarsi nelle condizioni di esclusione dalla pubbliche gare previsti dall’art. 80 del D. Lgs. n. 50/2016 e ss. mm. ii. e precisamente:</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Lgs. n. 50/2016:</w:t>
      </w:r>
    </w:p>
    <w:p>
      <w:pPr>
        <w:pStyle w:val="NormalWeb"/>
        <w:numPr>
          <w:ilvl w:val="0"/>
          <w:numId w:val="2"/>
        </w:numPr>
        <w:spacing w:lineRule="auto" w:line="360" w:before="280" w:after="0"/>
        <w:ind w:left="1068"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pPr>
        <w:pStyle w:val="NormalWeb"/>
        <w:numPr>
          <w:ilvl w:val="0"/>
          <w:numId w:val="2"/>
        </w:numPr>
        <w:spacing w:lineRule="auto" w:line="360" w:before="280" w:after="0"/>
        <w:ind w:left="1068"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delitti, consumati o tentati, di cui agli articoli 317, 318, 319, 319-ter, 319-quater, 320, 321, 322, 322-bis, 346-bis, 353, 353-bis, 354, 355 e 356 del codice penale nonché all'articolo 2635 del codice civile;</w:t>
      </w:r>
    </w:p>
    <w:p>
      <w:pPr>
        <w:pStyle w:val="NormalWeb"/>
        <w:numPr>
          <w:ilvl w:val="0"/>
          <w:numId w:val="2"/>
        </w:numPr>
        <w:spacing w:lineRule="auto" w:line="360" w:before="280" w:after="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b-bis) false comunicazioni sociali di cui agli articoli 2621 e 2622 del codice civile;</w:t>
      </w:r>
    </w:p>
    <w:p>
      <w:pPr>
        <w:pStyle w:val="NormalWeb"/>
        <w:numPr>
          <w:ilvl w:val="0"/>
          <w:numId w:val="2"/>
        </w:numPr>
        <w:spacing w:lineRule="auto" w:line="360" w:before="280" w:after="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frode ai sensi dell'articolo 1 della convenzione relativa alla tutela degli interessi finanziari delle Comunità europee;</w:t>
      </w:r>
    </w:p>
    <w:p>
      <w:pPr>
        <w:pStyle w:val="NormalWeb"/>
        <w:numPr>
          <w:ilvl w:val="0"/>
          <w:numId w:val="2"/>
        </w:numPr>
        <w:spacing w:lineRule="auto" w:line="360" w:before="280" w:after="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delitti, consumati o tentati, commessi con finalità di terrorismo, anche internazionale, e di eversione dell'ordine costituzionale reati terroristici o reati connessi alle attività terroristiche;</w:t>
      </w:r>
    </w:p>
    <w:p>
      <w:pPr>
        <w:pStyle w:val="NormalWeb"/>
        <w:numPr>
          <w:ilvl w:val="0"/>
          <w:numId w:val="2"/>
        </w:numPr>
        <w:spacing w:lineRule="auto" w:line="360" w:before="280" w:after="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delitti di cui agli articoli 648-bis, 648-ter e 648-ter.1 del codice penale, riciclaggio di proventi di attività criminose o finanziamento del terrorismo, quali definiti all'articolo 1 del decreto legislativo 22 giugno 2007, n. 109 e successive modificazioni;</w:t>
      </w:r>
    </w:p>
    <w:p>
      <w:pPr>
        <w:pStyle w:val="NormalWeb"/>
        <w:numPr>
          <w:ilvl w:val="0"/>
          <w:numId w:val="2"/>
        </w:numPr>
        <w:spacing w:lineRule="auto" w:line="360" w:before="280" w:after="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sfruttamento del lavoro minorile e altre forme di tratta di esseri umani definite con il decreto legislativo 4 marzo 2014, n. 24;</w:t>
      </w:r>
    </w:p>
    <w:p>
      <w:pPr>
        <w:pStyle w:val="NormalWeb"/>
        <w:numPr>
          <w:ilvl w:val="0"/>
          <w:numId w:val="2"/>
        </w:numPr>
        <w:spacing w:lineRule="auto" w:line="360" w:before="280" w:after="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ogni altro delitto da cui derivi, quale pena accessoria, l'incapacità di contrattare con la pubblica amministrazione.</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(articolo 80, comma 2,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comma 4,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non aver commesso gravi infrazioni debitamente accertate alle norme in materia di salute e sicurezza sul lavoro e a ogni altro obbligo di cui all'art. 30, comma 3, del D. Lgs. n. 50/2016 (articolo 80, comma 5, lettera a)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comma 5, lettera b)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 del corretto svolgimento della procedura di selezione) (articolo 80, comma 5, lettera c)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la non sussistenza di una situazione di conflitto di interesse ai sensi dell'articolo 42, comma 2 (articolo 80, comma 5, lettera d)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la non sussistenza di alcuna distorsione della concorrenza derivante dal precedente proprio coinvolgimento nella preparazione della procedura d'appalto di cui all'articolo 67(articolo 80, comma 5, lettera e)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non è stata applicata la sanzione interdittiva di cui all'art. 9, comma 2, lettera c), del D.lgs. n. 231/2001 o altra sanzione che comporta il divieto per l'Impresa di contrarre con la Pubblica Amministrazione, compresi i provvedimenti interdittivi di cui all'art. 14 del D. Lgs. n. 81/2008 (articolo 80, comma 5, lettera f)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non sono presenti nella procedura di gara in corso e negli affidamenti di subappalti documentazione o dichiarazioni non veritiere (articolo 80, comma 5, lettera f-bis)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non risulta a carico dell'Impresa, l'iscrizione nel casellario informatico tenuto dall'Osservatore dell'ANAC per aver presentato falsa dichiarazione o falsa documentazione nelle procedure di gara e negli affidamenti di subappalti(articolo 80, comma 5, lettera f-ter)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non risulta a carico dell'Impresa, l'iscrizione nel casellario informatico tenuto dall'Osservatore dell'ANAC per aver presentato falsa dichiarazione o falsa documentazione ai fini del rilascio dell'attestazione di qualificazione (articolo 80, comma 5, lettera g)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non aver violato il divieto di intestazione fiduciaria di cui all'articolo 17 della legge 19 marzo 1990, n. 55 (articolo 80, comma 5, lettera h)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essere in regola con le norme che disciplinano il diritto al lavoro dei disabili, ai sensi dell'art. 17 della L. n. 68/1999 (articolo 80, comma 5, lettera i)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che il sottoscritto e tutti i soggetti indicati al medesimo art. 80 non sono stati vittima dei reati previsti e puniti dagli articoli 317 e 629 del codice penale aggravati ai sensi dell'articolo 7 del decreto legge 13 maggio 1991 n. 152, convertito, con modificazioni, dall’art. 416-bis del codice penale, non risulti aver denunciato i fatti all’autorità giudiziaria, salvo chericorrano i casi previsti dall’art. 4, comma 1, dellalegge 24 novembre 1981 nr. 689 (articolo 80, comma 5, lettera l) del D. Lgs. n. 50/2016);</w:t>
      </w:r>
    </w:p>
    <w:p>
      <w:pPr>
        <w:pStyle w:val="NormalWeb"/>
        <w:numPr>
          <w:ilvl w:val="0"/>
          <w:numId w:val="1"/>
        </w:numPr>
        <w:spacing w:lineRule="auto" w:line="360" w:before="280" w:after="0"/>
        <w:ind w:left="720" w:right="74" w:hanging="360"/>
        <w:jc w:val="both"/>
        <w:rPr>
          <w:rFonts w:ascii="Book Antiqua" w:hAnsi="Book Antiqua" w:eastAsia="Calibri" w:cs="TimesNewRomanPSMT" w:eastAsiaTheme="minorHAnsi"/>
          <w:lang w:eastAsia="en-US"/>
        </w:rPr>
      </w:pPr>
      <w:r>
        <w:rPr>
          <w:rFonts w:eastAsia="Calibri" w:cs="TimesNewRomanPSMT" w:ascii="Book Antiqua" w:hAnsi="Book Antiqua" w:eastAsiaTheme="minorHAnsi"/>
          <w:lang w:eastAsia="en-US"/>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Lgs. n. 50/2016;</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ListParagraph"/>
        <w:numPr>
          <w:ilvl w:val="0"/>
          <w:numId w:val="4"/>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non trovarsi in alcuna condizione di incompatibilità o di conflitto di interessi;</w:t>
      </w:r>
    </w:p>
    <w:p>
      <w:pPr>
        <w:pStyle w:val="ListParagraph"/>
        <w:numPr>
          <w:ilvl w:val="0"/>
          <w:numId w:val="4"/>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aver preso visione dei contenuti dell'Avviso - Disciplinare e di accettarne integralmente le condizioni;</w:t>
      </w:r>
    </w:p>
    <w:p>
      <w:pPr>
        <w:pStyle w:val="ListParagraph"/>
        <w:numPr>
          <w:ilvl w:val="0"/>
          <w:numId w:val="4"/>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aver svolto l’incarico di Revisore contabile nell’ambito di programmi/progetti cofinanziati da Fondi Europei, Ministeriali o Regionali come di seguito riportato:</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 dal ___________al 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 dal ___________al 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 dal ___________al 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 dal ___________al 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 dal ___________al ______________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ListParagraph"/>
        <w:numPr>
          <w:ilvl w:val="0"/>
          <w:numId w:val="4"/>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possedere esperienza presso una Pubblica Amministrazione con l’incarico di Revisore dei Conti come di seguito riportato:</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P.A. Committente ______________________________________dal _________al 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P.A. Committente ______________________________________dal _________al 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P.A. Committente ______________________________________dal _________al 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P.A. Committente ______________________________________dal _________al 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P.A. Committente ______________________________________dal _________al 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ListParagraph"/>
        <w:numPr>
          <w:ilvl w:val="0"/>
          <w:numId w:val="4"/>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possedere esperienza specifica di revisione contabile nell'ambito di progetti ex SPRAR oggi Siproimi/SAI come di seguito riportato</w:t>
      </w:r>
      <w:bookmarkStart w:id="0" w:name="_GoBack"/>
      <w:bookmarkEnd w:id="0"/>
      <w:r>
        <w:rPr>
          <w:rFonts w:cs="TimesNewRomanPSMT" w:ascii="Book Antiqua" w:hAnsi="Book Antiqua"/>
          <w:sz w:val="24"/>
          <w:szCs w:val="24"/>
        </w:rPr>
        <w:t>:</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__________________________________________________ dal ___________al 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__________________________________________________ dal ___________al 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__________________________________________________ dal ___________al 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__________________________________________________ dal ___________al _____________</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Committente ____________________________________________________________Progetto __________________________________________________ dal ___________al _____________</w:t>
      </w:r>
    </w:p>
    <w:p>
      <w:pPr>
        <w:pStyle w:val="ListParagraph"/>
        <w:numPr>
          <w:ilvl w:val="0"/>
          <w:numId w:val="4"/>
        </w:numPr>
        <w:spacing w:lineRule="auto" w:line="240" w:before="0" w:after="0"/>
        <w:ind w:left="0" w:hanging="360"/>
        <w:contextualSpacing/>
        <w:jc w:val="both"/>
        <w:rPr>
          <w:rFonts w:ascii="Book Antiqua" w:hAnsi="Book Antiqua" w:cs="TimesNewRomanPSMT"/>
          <w:sz w:val="24"/>
          <w:szCs w:val="24"/>
        </w:rPr>
      </w:pPr>
      <w:r>
        <w:rPr>
          <w:rFonts w:cs="TimesNewRomanPSMT" w:ascii="Book Antiqua" w:hAnsi="Book Antiqua"/>
          <w:sz w:val="24"/>
          <w:szCs w:val="24"/>
        </w:rPr>
        <w:t>di autorizzare il Comune di Mascalucia al trattamento dei propri dati personali per le finalità connesse alla presente procedura, ai sensi del regolamento U.E. 679/2016.</w:t>
      </w:r>
    </w:p>
    <w:p>
      <w:pPr>
        <w:pStyle w:val="Normal"/>
        <w:spacing w:lineRule="auto" w:line="240" w:beforeAutospacing="1" w:after="0"/>
        <w:jc w:val="both"/>
        <w:rPr>
          <w:rFonts w:ascii="Book Antiqua" w:hAnsi="Book Antiqua" w:cs="TimesNewRomanPSMT"/>
          <w:sz w:val="24"/>
          <w:szCs w:val="24"/>
        </w:rPr>
      </w:pPr>
      <w:r>
        <w:rPr>
          <w:rFonts w:cs="TimesNewRomanPSMT" w:ascii="Book Antiqua" w:hAnsi="Book Antiqua"/>
          <w:sz w:val="24"/>
          <w:szCs w:val="24"/>
        </w:rPr>
        <w:t>I dati dichiarati con la presente certificazione potranno essere assoggettati a verifica. Si ricorda che ai sensi dell'art. 76 del T.U. 445/2000 le dichiarazioni mendaci sono punite dalla legge ai sensi del Codice Penale. Inoltre ai sensi dell'art. 75 qualora dal controllo emerga la non veridicità del contenuto della dichiarazione, il dichiarante decade dai benefici eventualmente conseguenti al provvedimento emanato sulla base della dichiarazione non veritiera.</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Allegati obbligatori:</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Fotocopia di valido documento di identità.</w:t>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r>
    </w:p>
    <w:p>
      <w:pPr>
        <w:pStyle w:val="Normal"/>
        <w:spacing w:lineRule="auto" w:line="240" w:before="0" w:after="0"/>
        <w:jc w:val="both"/>
        <w:rPr>
          <w:rFonts w:ascii="Book Antiqua" w:hAnsi="Book Antiqua" w:cs="TimesNewRomanPSMT"/>
          <w:sz w:val="24"/>
          <w:szCs w:val="24"/>
        </w:rPr>
      </w:pPr>
      <w:r>
        <w:rPr>
          <w:rFonts w:cs="TimesNewRomanPSMT" w:ascii="Book Antiqua" w:hAnsi="Book Antiqua"/>
          <w:sz w:val="24"/>
          <w:szCs w:val="24"/>
        </w:rPr>
        <w:t>Luogo e data ________________________</w:t>
      </w:r>
    </w:p>
    <w:p>
      <w:pPr>
        <w:pStyle w:val="Normal"/>
        <w:spacing w:lineRule="auto" w:line="240" w:before="0" w:after="0"/>
        <w:ind w:left="6372" w:firstLine="708"/>
        <w:jc w:val="both"/>
        <w:rPr>
          <w:rFonts w:ascii="Book Antiqua" w:hAnsi="Book Antiqua" w:cs="TimesNewRomanPSMT"/>
          <w:sz w:val="24"/>
          <w:szCs w:val="24"/>
        </w:rPr>
      </w:pPr>
      <w:r>
        <w:rPr>
          <w:rFonts w:cs="TimesNewRomanPSMT" w:ascii="Book Antiqua" w:hAnsi="Book Antiqua"/>
          <w:sz w:val="24"/>
          <w:szCs w:val="24"/>
        </w:rPr>
        <w:t>FIRMA</w:t>
      </w:r>
    </w:p>
    <w:p>
      <w:pPr>
        <w:pStyle w:val="Normal"/>
        <w:ind w:left="5664" w:hanging="0"/>
        <w:jc w:val="both"/>
        <w:rPr/>
      </w:pPr>
      <w:r>
        <w:rPr>
          <w:rFonts w:cs="TimesNewRomanPSMT" w:ascii="Book Antiqua" w:hAnsi="Book Antiqua"/>
          <w:sz w:val="24"/>
          <w:szCs w:val="24"/>
        </w:rPr>
        <w:t>_________________________________</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Book Antiqu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c13ef"/>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573fbf"/>
    <w:rPr>
      <w:rFonts w:ascii="Segoe UI" w:hAnsi="Segoe UI" w:cs="Segoe UI"/>
      <w:sz w:val="18"/>
      <w:szCs w:val="18"/>
    </w:rPr>
  </w:style>
  <w:style w:type="character" w:styleId="ListLabel1">
    <w:name w:val="ListLabel 1"/>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573fbf"/>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607010"/>
    <w:pPr>
      <w:spacing w:lineRule="auto" w:line="240" w:beforeAutospacing="1" w:after="119"/>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a60c26"/>
    <w:pPr>
      <w:spacing w:before="0" w:after="160"/>
      <w:ind w:left="720" w:hanging="0"/>
      <w:contextualSpacing/>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LibreOffice/4.4.7.2$Windows_x86 LibreOffice_project/f3153a8b245191196a4b6b9abd1d0da16eead600</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2021-11-08T12:46:00Z</dcterms:created>
  <dc:creator>Maria Luisa</dc:creator>
  <dc:language>it-IT</dc:language>
  <cp:lastPrinted>2021-11-15T12:37:00Z</cp:lastPrinted>
  <dcterms:modified xsi:type="dcterms:W3CDTF">2021-11-18T11:33:24Z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